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C0E368" w14:textId="77777777" w:rsidR="00E56787" w:rsidRDefault="00E56787">
      <w:r>
        <w:t xml:space="preserve">Р е ж и м д в и ж е н и я с р е д </w:t>
      </w:r>
      <w:proofErr w:type="gramStart"/>
      <w:r>
        <w:t>ы .</w:t>
      </w:r>
      <w:proofErr w:type="gramEnd"/>
    </w:p>
    <w:p w14:paraId="76D26A01" w14:textId="78E10670" w:rsidR="005B2F98" w:rsidRDefault="00E56787">
      <w:r>
        <w:t xml:space="preserve"> Движение среды (жидкости или газа) может иметь ламинарный или турбулентный характер. В первом случае частицы жидкости в форме отдельных несмешивающихся струй следуют очертаниям канала или стенки, и профиль скоростей на достаточном удалении от начала трубы имеет вид правильной параболы. Турбулентный режим характеризуется непостоянством скорости движения частиц среды в рассматриваемой точке пространства. Из-за непрерывного перемешивания среды в ней нельзя выделить отдельные струи. Английский физик Рейнольдс установил, что при движении жидкости в трубах переход из ламинарного режима в турбулентный определяется значением безразмерного комплекса </w:t>
      </w:r>
      <w:r>
        <w:sym w:font="Symbol" w:char="F077"/>
      </w:r>
      <w:r>
        <w:t>d</w:t>
      </w:r>
      <w:r>
        <w:sym w:font="Symbol" w:char="F072"/>
      </w:r>
      <w:r>
        <w:t>/</w:t>
      </w:r>
      <w:r>
        <w:sym w:font="Symbol" w:char="F06D"/>
      </w:r>
      <w:r>
        <w:t xml:space="preserve">, в который входят средняя скорость </w:t>
      </w:r>
      <w:r>
        <w:sym w:font="Symbol" w:char="F077"/>
      </w:r>
      <w:r>
        <w:t xml:space="preserve">, диаметр трубы d, плотность </w:t>
      </w:r>
      <w:r>
        <w:sym w:font="Symbol" w:char="F072"/>
      </w:r>
      <w:r>
        <w:t xml:space="preserve"> и динамическая вязкость среды </w:t>
      </w:r>
      <w:r>
        <w:sym w:font="Symbol" w:char="F06D"/>
      </w:r>
      <w:r>
        <w:t xml:space="preserve">. Этот комплекс называют числом Рейнольдса и обозначают символом </w:t>
      </w:r>
      <w:proofErr w:type="spellStart"/>
      <w:r>
        <w:t>Re</w:t>
      </w:r>
      <w:proofErr w:type="spellEnd"/>
      <w:r>
        <w:t xml:space="preserve">. При </w:t>
      </w:r>
      <w:proofErr w:type="spellStart"/>
      <w:r>
        <w:t>Re</w:t>
      </w:r>
      <w:proofErr w:type="spellEnd"/>
      <w:r>
        <w:t xml:space="preserve"> ≤ 2300 движение среды имеет ламинарный характер, перенос тепла осуществляется главным образом теплопроводностью. При Re≥10000 режим движения имеет турбулентный характер, передача теплоты осуществляется в основном за счет конвекции. 3 Ф и з и ч е с к и е с в о й с т в а с р е д </w:t>
      </w:r>
      <w:proofErr w:type="gramStart"/>
      <w:r>
        <w:t>ы .</w:t>
      </w:r>
      <w:proofErr w:type="gramEnd"/>
      <w:r>
        <w:t xml:space="preserve"> На процесс теплоотдачи непосредственно влияют следующие физические параметры среды: теплопроводность </w:t>
      </w:r>
      <w:r>
        <w:sym w:font="Symbol" w:char="F06C"/>
      </w:r>
      <w:r>
        <w:t xml:space="preserve">, удельная теплоемкость с, плотность </w:t>
      </w:r>
      <w:r>
        <w:sym w:font="Symbol" w:char="F072"/>
      </w:r>
      <w:r>
        <w:t xml:space="preserve">, вязкость и </w:t>
      </w:r>
      <w:proofErr w:type="spellStart"/>
      <w:r>
        <w:t>температуропроводность</w:t>
      </w:r>
      <w:proofErr w:type="spellEnd"/>
      <w:r>
        <w:t xml:space="preserve"> а. 96 4 Ф о р м </w:t>
      </w:r>
      <w:proofErr w:type="gramStart"/>
      <w:r>
        <w:t>а ,</w:t>
      </w:r>
      <w:proofErr w:type="gramEnd"/>
      <w:r>
        <w:t xml:space="preserve"> р а з м е р ы и с о с т о я н и е п о в е р х н о с т и с т е н к и , о м ы в а е м о й с р е д о й . Большое значение имеют шероховатость стенки, ее форма (плита или труба), ее расположение (вертикально, горизонтально, наклонно). Из рассмотренных факторов, влияющих на процесс теплоотдачи, видно, насколько сложно определить количество теплоты, переданной при конвективном теплообмене. Для решения данной задачи необходимо решить сложную систему дифференциальных уравнений, при этом необходимо добавить математическое описание всех частных особенностей рассматриваемой задачи, называемых иначе краевыми условиями, или условиями однозначности. Последние включают: 1) геометрические условия, определяющие размеры и форму тела или системы тел, где протекает процесс (в данной лабораторной работе рассматривается конвективный теплообмен между плоской стенкой и воздухом); 2) физические условия, характеризующие физические свойства тел (теплопроводность, теплоемкость, вязкость и т.д.); 3) граничные условия, которые описывают особенности процесса, протекающего на границах системы с окружающей средой (в данной лабораторной работе рассматриваются граничные условия третьего рода, которые задаются температурой окружающей среды и интенсивностью теплообмена между поверхностью стенки и средой, интенсивность данного процесса оценивается коэффициентом теплоотдачи </w:t>
      </w:r>
      <w:r>
        <w:sym w:font="Symbol" w:char="F061"/>
      </w:r>
      <w:r>
        <w:t xml:space="preserve">); 4) временные условия, показывающие особенности протекания процесса во времени. Для стационарных процессов временные условия отпадают (стационарный режим характеризуется неизменной с течением времени температурой). Величина Q в уравнениях (2.21), (2.22) и (2.23) одинакова, так как тепловой режим стационарный, </w:t>
      </w:r>
      <w:proofErr w:type="gramStart"/>
      <w:r>
        <w:t>т.е.</w:t>
      </w:r>
      <w:proofErr w:type="gramEnd"/>
      <w:r>
        <w:t xml:space="preserve"> проходит при неизменной с течением времени температуре. Решим три уравнения относительно разности температур и просуммируем левые и правые части уравнений: , α 1 F Q , t </w:t>
      </w:r>
      <w:proofErr w:type="spellStart"/>
      <w:r>
        <w:t>t</w:t>
      </w:r>
      <w:proofErr w:type="spellEnd"/>
      <w:r>
        <w:t xml:space="preserve"> λ δ F Q , t </w:t>
      </w:r>
      <w:proofErr w:type="spellStart"/>
      <w:r>
        <w:t>t</w:t>
      </w:r>
      <w:proofErr w:type="spellEnd"/>
      <w:r>
        <w:t xml:space="preserve"> α 1 F Q t </w:t>
      </w:r>
      <w:proofErr w:type="spellStart"/>
      <w:r>
        <w:t>t</w:t>
      </w:r>
      <w:proofErr w:type="spellEnd"/>
      <w:r>
        <w:t xml:space="preserve"> 2 2 '' с т '' с т ' с т ' 1 </w:t>
      </w:r>
      <w:r>
        <w:sym w:font="Symbol" w:char="F02D"/>
      </w:r>
      <w:r>
        <w:t xml:space="preserve"> с т </w:t>
      </w:r>
      <w:r>
        <w:sym w:font="Symbol" w:char="F03D"/>
      </w:r>
      <w:r>
        <w:t xml:space="preserve"> </w:t>
      </w:r>
      <w:r>
        <w:sym w:font="Symbol" w:char="F02D"/>
      </w:r>
      <w:r>
        <w:t xml:space="preserve"> </w:t>
      </w:r>
      <w:r>
        <w:sym w:font="Symbol" w:char="F03D"/>
      </w:r>
      <w:r>
        <w:t xml:space="preserve"> </w:t>
      </w:r>
      <w:r>
        <w:sym w:font="Symbol" w:char="F02D"/>
      </w:r>
      <w:r>
        <w:t xml:space="preserve"> </w:t>
      </w:r>
      <w:r>
        <w:sym w:font="Symbol" w:char="F03D"/>
      </w:r>
      <w:r>
        <w:t xml:space="preserve"> </w:t>
      </w:r>
      <w:r>
        <w:sym w:font="Symbol" w:char="F0F7"/>
      </w:r>
      <w:r>
        <w:t xml:space="preserve"> </w:t>
      </w:r>
      <w:r>
        <w:sym w:font="Symbol" w:char="F0F7"/>
      </w:r>
      <w:r>
        <w:t xml:space="preserve"> </w:t>
      </w:r>
      <w:r>
        <w:sym w:font="Symbol" w:char="F0F8"/>
      </w:r>
      <w:r>
        <w:t xml:space="preserve"> </w:t>
      </w:r>
      <w:r>
        <w:sym w:font="Symbol" w:char="F0F6"/>
      </w:r>
      <w:r>
        <w:t xml:space="preserve"> </w:t>
      </w:r>
      <w:r>
        <w:sym w:font="Symbol" w:char="F0E7"/>
      </w:r>
      <w:r>
        <w:t xml:space="preserve"> </w:t>
      </w:r>
      <w:r>
        <w:sym w:font="Symbol" w:char="F0E7"/>
      </w:r>
      <w:r>
        <w:t xml:space="preserve"> </w:t>
      </w:r>
      <w:r>
        <w:sym w:font="Symbol" w:char="F0E8"/>
      </w:r>
      <w:r>
        <w:t xml:space="preserve"> </w:t>
      </w:r>
      <w:r>
        <w:sym w:font="Symbol" w:char="F0E6"/>
      </w:r>
      <w:r>
        <w:t xml:space="preserve"> </w:t>
      </w:r>
      <w:r>
        <w:sym w:font="Symbol" w:char="F02D"/>
      </w:r>
      <w:r>
        <w:t xml:space="preserve"> </w:t>
      </w:r>
      <w:r>
        <w:sym w:font="Symbol" w:char="F03D"/>
      </w:r>
      <w:r>
        <w:t xml:space="preserve"> </w:t>
      </w:r>
      <w:r>
        <w:sym w:font="Symbol" w:char="F02B"/>
      </w:r>
      <w:r>
        <w:t xml:space="preserve"> </w:t>
      </w:r>
      <w:r>
        <w:sym w:font="Symbol" w:char="F02B"/>
      </w:r>
      <w:r>
        <w:t xml:space="preserve"> 1 2 1 2 α 1 λ δ α 1 F Q t </w:t>
      </w:r>
      <w:proofErr w:type="spellStart"/>
      <w:r>
        <w:t>t</w:t>
      </w:r>
      <w:proofErr w:type="spellEnd"/>
      <w:r>
        <w:t xml:space="preserve"> 97 Тогда тепловой поток можно определить: </w:t>
      </w:r>
      <w:r>
        <w:sym w:font="Symbol" w:char="F0D7"/>
      </w:r>
      <w:r>
        <w:t xml:space="preserve"> </w:t>
      </w:r>
      <w:r>
        <w:sym w:font="Symbol" w:char="F02B"/>
      </w:r>
      <w:r>
        <w:t xml:space="preserve"> </w:t>
      </w:r>
      <w:r>
        <w:sym w:font="Symbol" w:char="F02B"/>
      </w:r>
      <w:r>
        <w:t xml:space="preserve"> </w:t>
      </w:r>
      <w:r>
        <w:sym w:font="Symbol" w:char="F02D"/>
      </w:r>
      <w:r>
        <w:t xml:space="preserve"> </w:t>
      </w:r>
      <w:r>
        <w:sym w:font="Symbol" w:char="F03D"/>
      </w:r>
      <w:r>
        <w:t xml:space="preserve"> 1 2 1 2 α 1 λ δ α 1 F(t </w:t>
      </w:r>
      <w:proofErr w:type="spellStart"/>
      <w:r>
        <w:t>t</w:t>
      </w:r>
      <w:proofErr w:type="spellEnd"/>
      <w:r>
        <w:t xml:space="preserve"> ) Q Введем условное обозначение , 1 α2 1 λ δ α 1 1 k </w:t>
      </w:r>
      <w:r>
        <w:sym w:font="Symbol" w:char="F02B"/>
      </w:r>
      <w:r>
        <w:t xml:space="preserve"> </w:t>
      </w:r>
      <w:r>
        <w:sym w:font="Symbol" w:char="F02B"/>
      </w:r>
      <w:r>
        <w:t xml:space="preserve"> </w:t>
      </w:r>
      <w:r>
        <w:sym w:font="Symbol" w:char="F03D"/>
      </w:r>
      <w:r>
        <w:t xml:space="preserve"> тогда Q = </w:t>
      </w:r>
      <w:proofErr w:type="spellStart"/>
      <w:r>
        <w:t>kF</w:t>
      </w:r>
      <w:proofErr w:type="spellEnd"/>
      <w:r>
        <w:t xml:space="preserve">(t1 – t2). (2.24) Это уравнение теплопередачи от горячей среды к холодной через плоскую однослойную стенку, где k – коэффициент теплопередачи. Его физический смысл и размерность можно определить из уравнения (2.24): . м С Вт F(t </w:t>
      </w:r>
      <w:proofErr w:type="spellStart"/>
      <w:r>
        <w:t>t</w:t>
      </w:r>
      <w:proofErr w:type="spellEnd"/>
      <w:r>
        <w:t xml:space="preserve"> ) Q k 2 0 1 2 </w:t>
      </w:r>
      <w:r>
        <w:sym w:font="Symbol" w:char="F0FA"/>
      </w:r>
      <w:r>
        <w:t xml:space="preserve"> </w:t>
      </w:r>
      <w:r>
        <w:sym w:font="Symbol" w:char="F0FB"/>
      </w:r>
      <w:r>
        <w:t xml:space="preserve"> </w:t>
      </w:r>
      <w:r>
        <w:sym w:font="Symbol" w:char="F0F9"/>
      </w:r>
      <w:r>
        <w:t xml:space="preserve"> </w:t>
      </w:r>
      <w:r>
        <w:sym w:font="Symbol" w:char="F0EA"/>
      </w:r>
      <w:r>
        <w:t xml:space="preserve"> </w:t>
      </w:r>
      <w:r>
        <w:sym w:font="Symbol" w:char="F0EB"/>
      </w:r>
      <w:r>
        <w:t xml:space="preserve"> </w:t>
      </w:r>
      <w:r>
        <w:sym w:font="Symbol" w:char="F0E9"/>
      </w:r>
      <w:r>
        <w:t xml:space="preserve"> </w:t>
      </w:r>
      <w:r>
        <w:sym w:font="Symbol" w:char="F03D"/>
      </w:r>
      <w:r>
        <w:t xml:space="preserve"> </w:t>
      </w:r>
      <w:r>
        <w:sym w:font="Symbol" w:char="F02D"/>
      </w:r>
      <w:r>
        <w:t xml:space="preserve"> </w:t>
      </w:r>
      <w:r>
        <w:sym w:font="Symbol" w:char="F03D"/>
      </w:r>
      <w:r>
        <w:t xml:space="preserve"> Коэффициент теплопередачи k показывает, какое количество тепла передается от горячей подвижной среды к холодной в единицу времени через единицу изотермной поверхности при разности температур между средами в один градус. Анализируя уравнение для k, можно сделать вывод, что для увеличения коэффициента теплопередачи необходимо увеличить коэффициенты теплоотдачи </w:t>
      </w:r>
      <w:r>
        <w:sym w:font="Symbol" w:char="F061"/>
      </w:r>
      <w:r>
        <w:sym w:font="Symbol" w:char="F031"/>
      </w:r>
      <w:r>
        <w:t xml:space="preserve"> и α2, теплопроводность стенки (заменяя материал стенки на более теплопроводный) и уменьшить толщину стенки δ.</w:t>
      </w:r>
    </w:p>
    <w:sectPr w:rsidR="005B2F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C4F"/>
    <w:rsid w:val="00391C4F"/>
    <w:rsid w:val="005B2F98"/>
    <w:rsid w:val="00E567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C846C"/>
  <w15:chartTrackingRefBased/>
  <w15:docId w15:val="{26022D9F-B111-4FF8-992B-C7E07B30E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627</Words>
  <Characters>3576</Characters>
  <Application>Microsoft Office Word</Application>
  <DocSecurity>0</DocSecurity>
  <Lines>29</Lines>
  <Paragraphs>8</Paragraphs>
  <ScaleCrop>false</ScaleCrop>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2020-11-11T04:37:00Z</dcterms:created>
  <dcterms:modified xsi:type="dcterms:W3CDTF">2020-11-11T04:37:00Z</dcterms:modified>
</cp:coreProperties>
</file>